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both"/>
        <w:rPr>
          <w:rFonts w:ascii="Arial" w:cs="Arial" w:eastAsia="Arial" w:hAnsi="Arial"/>
          <w:b w:val="1"/>
          <w:bCs w:val="1"/>
          <w:sz w:val="18"/>
          <w:szCs w:val="18"/>
        </w:rPr>
      </w:pPr>
      <w:bookmarkStart w:colFirst="0" w:colLast="0" w:name="_heading=h.rzirse6p1ncj" w:id="0"/>
      <w:bookmarkEnd w:id="0"/>
      <w:r w:rsidDel="00000000" w:rsidR="00000000" w:rsidRPr="00000000">
        <w:rPr>
          <w:rFonts w:ascii="Arial" w:cs="Arial" w:eastAsia="Arial" w:hAnsi="Arial"/>
          <w:b w:val="1"/>
          <w:bCs w:val="1"/>
          <w:sz w:val="18"/>
          <w:szCs w:val="18"/>
          <w:rtl w:val="0"/>
        </w:rPr>
        <w:t xml:space="preserve">OGGETTO: SERVIZIO DI PROTEZIONE DDOS E DEI CONNESSI SERVIZI DI ATTIVAZIONE, STARTUP, MONITORAGGIO E MANUTENZIONE IN GARANZIA PER 36 MESI.</w:t>
      </w:r>
    </w:p>
    <w:p w:rsidR="00000000" w:rsidDel="00000000" w:rsidP="00000000" w:rsidRDefault="00000000" w:rsidRPr="00000000" w14:paraId="00000002">
      <w:pPr>
        <w:spacing w:line="360" w:lineRule="auto"/>
        <w:jc w:val="both"/>
        <w:rPr>
          <w:rFonts w:ascii="Arial" w:cs="Arial" w:eastAsia="Arial" w:hAnsi="Arial"/>
          <w:b w:val="1"/>
          <w:bCs w:val="1"/>
          <w:sz w:val="20"/>
          <w:szCs w:val="20"/>
        </w:rPr>
      </w:pPr>
      <w:bookmarkStart w:colFirst="0" w:colLast="0" w:name="_heading=h.tgejfisjjgnc" w:id="1"/>
      <w:bookmarkEnd w:id="1"/>
      <w:r w:rsidDel="00000000" w:rsidR="00000000" w:rsidRPr="00000000">
        <w:rPr>
          <w:rFonts w:ascii="Arial" w:cs="Arial" w:eastAsia="Arial" w:hAnsi="Arial"/>
          <w:b w:val="1"/>
          <w:bCs w:val="1"/>
          <w:sz w:val="18"/>
          <w:szCs w:val="18"/>
          <w:rtl w:val="0"/>
        </w:rPr>
        <w:t xml:space="preserve">Progetto  PRJ-1736-24 - Misura #55 - Strategia nazionale di cybersicurezza 2022-2026. DPCM 08 luglio 2024. ID intervento 55.1 “Supporto/Manutenzione/Gestione strumenti di cybersecurity”. CUP I99E24000040001</w:t>
      </w:r>
      <w:r w:rsidDel="00000000" w:rsidR="00000000" w:rsidRPr="00000000">
        <w:rPr>
          <w:rtl w:val="0"/>
        </w:rPr>
      </w:r>
    </w:p>
    <w:p w:rsidR="00000000" w:rsidDel="00000000" w:rsidP="00000000" w:rsidRDefault="00000000" w:rsidRPr="00000000" w14:paraId="00000003">
      <w:pPr>
        <w:tabs>
          <w:tab w:val="left" w:leader="none" w:pos="581"/>
          <w:tab w:val="left" w:leader="none" w:pos="583"/>
          <w:tab w:val="left" w:leader="none" w:pos="581"/>
          <w:tab w:val="left" w:leader="none" w:pos="583"/>
        </w:tabs>
        <w:spacing w:before="4" w:line="276" w:lineRule="auto"/>
        <w:jc w:val="left"/>
        <w:rPr>
          <w:rFonts w:ascii="Arial" w:cs="Arial" w:eastAsia="Arial" w:hAnsi="Arial"/>
          <w:b w:val="1"/>
          <w:bCs w:val="1"/>
          <w:i w:val="1"/>
          <w:iCs w:val="1"/>
          <w:sz w:val="18"/>
          <w:szCs w:val="18"/>
        </w:rPr>
      </w:pPr>
      <w:r w:rsidDel="00000000" w:rsidR="00000000" w:rsidRPr="00000000">
        <w:rPr>
          <w:rtl w:val="0"/>
        </w:rPr>
      </w:r>
    </w:p>
    <w:p w:rsidR="00000000" w:rsidDel="00000000" w:rsidP="00000000" w:rsidRDefault="00000000" w:rsidRPr="00000000" w14:paraId="00000004">
      <w:pPr>
        <w:tabs>
          <w:tab w:val="left" w:leader="none" w:pos="581"/>
          <w:tab w:val="left" w:leader="none" w:pos="583"/>
          <w:tab w:val="left" w:leader="none" w:pos="581"/>
          <w:tab w:val="left" w:leader="none" w:pos="583"/>
          <w:tab w:val="left" w:leader="none" w:pos="581"/>
          <w:tab w:val="left" w:leader="none" w:pos="583"/>
        </w:tabs>
        <w:spacing w:before="4" w:lineRule="auto"/>
        <w:jc w:val="left"/>
        <w:rPr>
          <w:rFonts w:ascii="Arial" w:cs="Arial" w:eastAsia="Arial" w:hAnsi="Arial"/>
          <w:b w:val="1"/>
          <w:bCs w:val="1"/>
          <w:i w:val="1"/>
          <w:iCs w:val="1"/>
          <w:sz w:val="18"/>
          <w:szCs w:val="18"/>
        </w:rPr>
      </w:pPr>
      <w:r w:rsidDel="00000000" w:rsidR="00000000" w:rsidRPr="00000000">
        <w:rPr>
          <w:rtl w:val="0"/>
        </w:rPr>
      </w:r>
    </w:p>
    <w:p w:rsidR="00000000" w:rsidDel="00000000" w:rsidP="00000000" w:rsidRDefault="00000000" w:rsidRPr="00000000" w14:paraId="00000005">
      <w:pPr>
        <w:widowControl w:val="0"/>
        <w:spacing w:after="240" w:lineRule="auto"/>
        <w:ind w:right="-45"/>
        <w:jc w:val="center"/>
        <w:rPr>
          <w:rFonts w:ascii="Arial" w:cs="Arial" w:eastAsia="Arial" w:hAnsi="Arial"/>
          <w:b w:val="1"/>
          <w:bCs w:val="1"/>
          <w:sz w:val="18"/>
          <w:szCs w:val="18"/>
        </w:rPr>
      </w:pPr>
      <w:bookmarkStart w:colFirst="0" w:colLast="0" w:name="_heading=h.gjdgxs" w:id="2"/>
      <w:bookmarkEnd w:id="2"/>
      <w:r w:rsidDel="00000000" w:rsidR="00000000" w:rsidRPr="00000000">
        <w:rPr>
          <w:rFonts w:ascii="Arial" w:cs="Arial" w:eastAsia="Arial" w:hAnsi="Arial"/>
          <w:b w:val="1"/>
          <w:bCs w:val="1"/>
          <w:sz w:val="18"/>
          <w:szCs w:val="18"/>
          <w:rtl w:val="0"/>
        </w:rPr>
        <w:t xml:space="preserve">DICHIARAZIONI OBBLIGHI ASSUNZIONALI</w:t>
      </w:r>
    </w:p>
    <w:tbl>
      <w:tblPr>
        <w:tblStyle w:val="Table1"/>
        <w:tblW w:w="96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2778"/>
        <w:gridCol w:w="6288"/>
        <w:tblGridChange w:id="0">
          <w:tblGrid>
            <w:gridCol w:w="562"/>
            <w:gridCol w:w="2778"/>
            <w:gridCol w:w="6288"/>
          </w:tblGrid>
        </w:tblGridChange>
      </w:tblGrid>
      <w:tr>
        <w:trPr>
          <w:cantSplit w:val="0"/>
          <w:tblHeader w:val="0"/>
        </w:trPr>
        <w:tc>
          <w:tcPr>
            <w:gridSpan w:val="2"/>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Il sottoscritto</w:t>
            </w:r>
            <w:r w:rsidDel="00000000" w:rsidR="00000000" w:rsidRPr="00000000">
              <w:rPr>
                <w:rtl w:val="0"/>
              </w:rPr>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Codice fiscale</w:t>
            </w:r>
            <w:r w:rsidDel="00000000" w:rsidR="00000000" w:rsidRPr="00000000">
              <w:rPr>
                <w:rtl w:val="0"/>
              </w:rPr>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Nella sua qualità di: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0" w:before="0" w:line="240" w:lineRule="auto"/>
              <w:ind w:left="0" w:right="0" w:firstLine="0"/>
              <w:jc w:val="center"/>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w:t>
            </w:r>
          </w:p>
        </w:tc>
        <w:tc>
          <w:tcPr>
            <w:gridSpan w:val="2"/>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Titolare o Legale rappresentante</w:t>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0" w:before="0" w:line="240" w:lineRule="auto"/>
              <w:ind w:left="0" w:right="0" w:firstLine="0"/>
              <w:jc w:val="center"/>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w:t>
            </w:r>
          </w:p>
        </w:tc>
        <w:tc>
          <w:tcPr>
            <w:gridSpan w:val="2"/>
            <w:vAlign w:val="cente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Procuratore</w:t>
            </w:r>
          </w:p>
        </w:tc>
      </w:tr>
      <w:tr>
        <w:trPr>
          <w:cantSplit w:val="0"/>
          <w:tblHeader w:val="0"/>
        </w:trPr>
        <w:tc>
          <w:tcPr>
            <w:gridSpan w:val="2"/>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Dell’operatore economico</w:t>
            </w:r>
            <w:r w:rsidDel="00000000" w:rsidR="00000000" w:rsidRPr="00000000">
              <w:rPr>
                <w:rtl w:val="0"/>
              </w:rPr>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800"/>
                <w:tab w:val="left" w:leader="none" w:pos="1080"/>
                <w:tab w:val="left" w:leader="none" w:pos="1800"/>
                <w:tab w:val="left" w:leader="none" w:pos="6300"/>
              </w:tabs>
              <w:spacing w:after="40" w:before="40" w:line="240" w:lineRule="auto"/>
              <w:ind w:left="0" w:right="0" w:firstLine="0"/>
              <w:jc w:val="left"/>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Fonts w:ascii="Arial" w:cs="Arial" w:eastAsia="Arial" w:hAnsi="Arial"/>
          <w:i w:val="1"/>
          <w:iCs w:val="1"/>
          <w:smallCaps w:val="0"/>
          <w:strike w:val="0"/>
          <w:color w:val="000000"/>
          <w:sz w:val="18"/>
          <w:szCs w:val="18"/>
          <w:u w:val="none"/>
          <w:shd w:fill="auto" w:val="clear"/>
          <w:vertAlign w:val="baseline"/>
          <w:rtl w:val="0"/>
        </w:rPr>
        <w:t xml:space="preserve">(in caso di RTI o di Consorzio ex art. 45, comma 2, lett. e) del codice, costituiti o costituendi, nonché, per i consorzi di cui alle lettere b) e c) del citato art. 45, dal Consorzio e dalle consorziate designate quali esecutrici nonché per il G.E.I.E. non ancora costituito, replicare la tabella e compilarla per ogni sottoscrittore)</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1"/>
          <w:iCs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ai sensi degli articoli 46 e 47 del D.P.R. 28 dicembre 2000, n. 445,</w:t>
      </w:r>
    </w:p>
    <w:p w:rsidR="00000000" w:rsidDel="00000000" w:rsidP="00000000" w:rsidRDefault="00000000" w:rsidRPr="00000000" w14:paraId="0000001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iCs w:val="0"/>
          <w:smallCaps w:val="0"/>
          <w:strike w:val="0"/>
          <w:color w:val="000000"/>
          <w:sz w:val="18"/>
          <w:szCs w:val="18"/>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Consapevole della responsabilità e delle conseguenze civili e penali previste in caso di dichiarazioni mendaci e/o formazione od uso di atti falsi, nonché in caso di esibizione di atti contenenti dati non più corrispondenti a verità;</w:t>
      </w:r>
      <w:r w:rsidDel="00000000" w:rsidR="00000000" w:rsidRPr="00000000">
        <w:rPr>
          <w:rtl w:val="0"/>
        </w:rPr>
      </w:r>
    </w:p>
    <w:p w:rsidR="00000000" w:rsidDel="00000000" w:rsidP="00000000" w:rsidRDefault="00000000" w:rsidRPr="00000000" w14:paraId="000000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iCs w:val="0"/>
          <w:smallCaps w:val="0"/>
          <w:strike w:val="0"/>
          <w:color w:val="000000"/>
          <w:sz w:val="18"/>
          <w:szCs w:val="18"/>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Consapevole che il mancato rispetto degli obblighi in materia di lavoro delle persone con disabilità di cui alla L. 68/1999 comporterà la revoca dell’affidamento; </w:t>
      </w:r>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iCs w:val="0"/>
          <w:smallCaps w:val="0"/>
          <w:strike w:val="0"/>
          <w:color w:val="000000"/>
          <w:sz w:val="18"/>
          <w:szCs w:val="18"/>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Consapevole che il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dell’affidamento, a seconda della gravità dell’inadempimento;</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DICHIARA</w:t>
      </w:r>
    </w:p>
    <w:p w:rsidR="00000000" w:rsidDel="00000000" w:rsidP="00000000" w:rsidRDefault="00000000" w:rsidRPr="00000000" w14:paraId="0000002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iCs w:val="0"/>
          <w:smallCaps w:val="0"/>
          <w:strike w:val="0"/>
          <w:color w:val="000000"/>
          <w:sz w:val="18"/>
          <w:szCs w:val="18"/>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Che l’operatore economico ha assolto gli obblighi in materia di lavoro delle persone con disabilità di cui alla legge 12 marzo 1999, n. 68;</w:t>
      </w:r>
      <w:r w:rsidDel="00000000" w:rsidR="00000000" w:rsidRPr="00000000">
        <w:rPr>
          <w:rtl w:val="0"/>
        </w:rPr>
      </w:r>
    </w:p>
    <w:p w:rsidR="00000000" w:rsidDel="00000000" w:rsidP="00000000" w:rsidRDefault="00000000" w:rsidRPr="00000000" w14:paraId="0000002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3"/>
        <w:jc w:val="both"/>
        <w:rPr>
          <w:rFonts w:ascii="Arial" w:cs="Arial" w:eastAsia="Arial" w:hAnsi="Arial"/>
          <w:i w:val="0"/>
          <w:iCs w:val="0"/>
          <w:smallCaps w:val="0"/>
          <w:strike w:val="0"/>
          <w:color w:val="000000"/>
          <w:sz w:val="18"/>
          <w:szCs w:val="18"/>
          <w:shd w:fill="auto" w:val="clear"/>
          <w:vertAlign w:val="baseline"/>
        </w:rPr>
      </w:pPr>
      <w:r w:rsidDel="00000000" w:rsidR="00000000" w:rsidRPr="00000000">
        <w:rPr>
          <w:rFonts w:ascii="Arial" w:cs="Arial" w:eastAsia="Arial" w:hAnsi="Arial"/>
          <w:sz w:val="18"/>
          <w:szCs w:val="18"/>
          <w:rtl w:val="0"/>
        </w:rPr>
        <w:t xml:space="preserve">nei limiti delle disponibilità del mercato del lavoro per il settore di riferimento, </w:t>
      </w: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ove per l’esecuzione del contratto medesimo o per la realizzazione di attività ad esso connesse o strumentali,</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fosse necessario procedere con nuove assunzioni in numero pari o superiore a tre unità, assume l’obbligo di assicurare una quota pari:</w:t>
      </w:r>
      <w:r w:rsidDel="00000000" w:rsidR="00000000" w:rsidRPr="00000000">
        <w:rPr>
          <w:rtl w:val="0"/>
        </w:rPr>
      </w:r>
    </w:p>
    <w:p w:rsidR="00000000" w:rsidDel="00000000" w:rsidP="00000000" w:rsidRDefault="00000000" w:rsidRPr="00000000" w14:paraId="00000024">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851" w:right="0" w:hanging="284"/>
        <w:jc w:val="both"/>
        <w:rPr>
          <w:i w:val="0"/>
          <w:iCs w:val="0"/>
          <w:smallCaps w:val="0"/>
          <w:strike w:val="0"/>
          <w:color w:val="000000"/>
          <w:sz w:val="18"/>
          <w:szCs w:val="18"/>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almeno al 30% delle nuove assunzioni necessarie all’occupazione giovanile; </w:t>
      </w:r>
      <w:r w:rsidDel="00000000" w:rsidR="00000000" w:rsidRPr="00000000">
        <w:rPr>
          <w:rtl w:val="0"/>
        </w:rPr>
      </w:r>
    </w:p>
    <w:p w:rsidR="00000000" w:rsidDel="00000000" w:rsidP="00000000" w:rsidRDefault="00000000" w:rsidRPr="00000000" w14:paraId="00000025">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851" w:right="0" w:hanging="284"/>
        <w:jc w:val="both"/>
        <w:rPr>
          <w:i w:val="0"/>
          <w:iCs w:val="0"/>
          <w:smallCaps w:val="0"/>
          <w:strike w:val="0"/>
          <w:color w:val="000000"/>
          <w:sz w:val="18"/>
          <w:szCs w:val="18"/>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almeno al 30% delle nuove assunzioni necessarie all’occupazione femminile.</w:t>
      </w:r>
      <w:r w:rsidDel="00000000" w:rsidR="00000000" w:rsidRPr="00000000">
        <w:rPr>
          <w:rtl w:val="0"/>
        </w:rPr>
      </w:r>
    </w:p>
    <w:p w:rsidR="00000000" w:rsidDel="00000000" w:rsidP="00000000" w:rsidRDefault="00000000" w:rsidRPr="00000000" w14:paraId="00000026">
      <w:pPr>
        <w:widowControl w:val="0"/>
        <w:jc w:val="both"/>
        <w:rPr>
          <w:rFonts w:ascii="Arial" w:cs="Arial" w:eastAsia="Arial" w:hAnsi="Arial"/>
          <w:b w:val="1"/>
          <w:bCs w:val="1"/>
          <w:i w:val="1"/>
          <w:iCs w:val="1"/>
          <w:sz w:val="18"/>
          <w:szCs w:val="18"/>
          <w:u w:val="single"/>
        </w:rPr>
      </w:pPr>
      <w:r w:rsidDel="00000000" w:rsidR="00000000" w:rsidRPr="00000000">
        <w:rPr>
          <w:rtl w:val="0"/>
        </w:rPr>
      </w:r>
    </w:p>
    <w:p w:rsidR="00000000" w:rsidDel="00000000" w:rsidP="00000000" w:rsidRDefault="00000000" w:rsidRPr="00000000" w14:paraId="00000027">
      <w:pPr>
        <w:widowControl w:val="0"/>
        <w:jc w:val="right"/>
        <w:rPr>
          <w:rFonts w:ascii="Arial" w:cs="Arial" w:eastAsia="Arial" w:hAnsi="Arial"/>
          <w:sz w:val="18"/>
          <w:szCs w:val="18"/>
        </w:rPr>
      </w:pPr>
      <w:bookmarkStart w:colFirst="0" w:colLast="0" w:name="_heading=h.30j0zll" w:id="3"/>
      <w:bookmarkEnd w:id="3"/>
      <w:r w:rsidDel="00000000" w:rsidR="00000000" w:rsidRPr="00000000">
        <w:rPr>
          <w:rFonts w:ascii="Arial" w:cs="Arial" w:eastAsia="Arial" w:hAnsi="Arial"/>
          <w:sz w:val="18"/>
          <w:szCs w:val="18"/>
          <w:rtl w:val="0"/>
        </w:rPr>
        <w:t xml:space="preserve">Firma digitale</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Fonts w:ascii="Arial" w:cs="Arial" w:eastAsia="Arial" w:hAnsi="Arial"/>
          <w:sz w:val="18"/>
          <w:szCs w:val="18"/>
          <w:rtl w:val="0"/>
        </w:rPr>
        <w:t xml:space="preserve"> del legale rappresentante/procuratore</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Fonts w:ascii="Arial" w:cs="Arial" w:eastAsia="Arial" w:hAnsi="Arial"/>
          <w:sz w:val="18"/>
          <w:szCs w:val="18"/>
          <w:rtl w:val="0"/>
        </w:rPr>
        <w:t xml:space="preserve"> di tutti i sottoscrittori</w:t>
      </w:r>
    </w:p>
    <w:p w:rsidR="00000000" w:rsidDel="00000000" w:rsidP="00000000" w:rsidRDefault="00000000" w:rsidRPr="00000000" w14:paraId="00000028">
      <w:pPr>
        <w:widowControl w:val="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9">
      <w:pPr>
        <w:widowControl w:val="0"/>
        <w:rPr>
          <w:rFonts w:ascii="Arial" w:cs="Arial" w:eastAsia="Arial" w:hAnsi="Arial"/>
          <w:sz w:val="18"/>
          <w:szCs w:val="18"/>
        </w:rPr>
      </w:pPr>
      <w:r w:rsidDel="00000000" w:rsidR="00000000" w:rsidRPr="00000000">
        <w:rPr>
          <w:rtl w:val="0"/>
        </w:rPr>
      </w:r>
    </w:p>
    <w:tbl>
      <w:tblPr>
        <w:tblStyle w:val="Table2"/>
        <w:tblW w:w="9202.0" w:type="dxa"/>
        <w:jc w:val="left"/>
        <w:tblInd w:w="426.0" w:type="dxa"/>
        <w:tblLayout w:type="fixed"/>
        <w:tblLook w:val="0400"/>
      </w:tblPr>
      <w:tblGrid>
        <w:gridCol w:w="9202"/>
        <w:tblGridChange w:id="0">
          <w:tblGrid>
            <w:gridCol w:w="920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B">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CHIARIMENTI</w:t>
            </w:r>
          </w:p>
          <w:p w:rsidR="00000000" w:rsidDel="00000000" w:rsidP="00000000" w:rsidRDefault="00000000" w:rsidRPr="00000000" w14:paraId="0000002C">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2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 Come precisato nelle Linee guida approvate con Decreto della Presidenza del Consiglio dei Ministri – Dipartimento Pari Opportunità, 7/12/2021 (G.U.R.I. 30/12/2021), gli obiettivi di incremento occupazionale giovanile e di genere che si intendono perseguire con le risorse previste dal Regolamento (UE) 2021/240 del Parlamento europeo e del Consiglio del 10 febbraio 2021 e dal Regolamento (UE) 2021/241 del Parlamento europeo e del Consiglio del 12 febbraio 2021, nonchè dal PNC, costituiscono due distinti target di policy. Ciò significa che nelle procedure di affidamento si deve intendere autonomo il target di incremento dell'occupazione giovanile rispetto a quello dell'occupazione femminile. L'obbligo è finalizzato a garantire un incremento sia dei lavoratori giovani sia delle lavoratrici e pertanto la percentuale di incremento deve essere assicurata con riferimento ad entrambe le tipologie. </w:t>
            </w:r>
          </w:p>
          <w:p w:rsidR="00000000" w:rsidDel="00000000" w:rsidP="00000000" w:rsidRDefault="00000000" w:rsidRPr="00000000" w14:paraId="0000002E">
            <w:pPr>
              <w:widowControl w:val="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Fatte salve le deroghe di cui al comma 7, va dunque, ad esempio, esclusa un'azienda che si impegna all'incremento del 30 per cento ottenuto con il 20 per cento di giovani e il 10 per cento di donne, salvo che queste percentuali non rispecchino i criteri per l'applicazione delle deroghe indicati nel seguito. Diversamente va ammessa, ad esempio, l'azienda che garantisce l'impegno con assunzioni che, sebbene nominalmente non superano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i dettagli operativo sulle modalità di calcolo, si rinvia alle già citate linee guida.</w:t>
            </w:r>
          </w:p>
          <w:p w:rsidR="00000000" w:rsidDel="00000000" w:rsidP="00000000" w:rsidRDefault="00000000" w:rsidRPr="00000000" w14:paraId="0000002F">
            <w:pPr>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i w:val="0"/>
                <w:iCs w:val="0"/>
                <w:smallCaps w:val="0"/>
                <w:strike w:val="0"/>
                <w:color w:val="000000"/>
                <w:sz w:val="18"/>
                <w:szCs w:val="18"/>
                <w:u w:val="none"/>
                <w:shd w:fill="auto" w:val="clear"/>
                <w:vertAlign w:val="baseline"/>
                <w:rtl w:val="0"/>
              </w:rPr>
              <w:t xml:space="preserve">2) Al fine di evitare che l’assunzione dell’obbligo in dichiarazione possa disincentivare la partecipazione o, ancora, determinare negli operatori il convincimento a non allegare la dichiarazione, che costituisce requisito necessario dell’offerta, passibile di esclusione, si ritiene di dover riportare, ad integrazione di quanto indicato nelle già citate linee guida, la risposta data al quesito sottostante dal Servizio Supporto Giuridico del MIT (Codice identificativo: 1133 Data ricezione: 12/01/2022 Argomento: Appalti PNRR e PNC):</w:t>
            </w:r>
          </w:p>
          <w:p w:rsidR="00000000" w:rsidDel="00000000" w:rsidP="00000000" w:rsidRDefault="00000000" w:rsidRPr="00000000" w14:paraId="00000031">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2">
            <w:pPr>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Oggetto: Contratti finanziati con PNRR - requisito quota 30% di assunzioni occupazione giovanile e femminile</w:t>
            </w:r>
          </w:p>
          <w:p w:rsidR="00000000" w:rsidDel="00000000" w:rsidP="00000000" w:rsidRDefault="00000000" w:rsidRPr="00000000" w14:paraId="00000033">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4">
            <w:pPr>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Quesito</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iCs w:val="1"/>
                <w:sz w:val="18"/>
                <w:szCs w:val="18"/>
                <w:rtl w:val="0"/>
              </w:rPr>
              <w:t xml:space="preserve">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r w:rsidDel="00000000" w:rsidR="00000000" w:rsidRPr="00000000">
              <w:rPr>
                <w:rtl w:val="0"/>
              </w:rPr>
            </w:r>
          </w:p>
          <w:p w:rsidR="00000000" w:rsidDel="00000000" w:rsidP="00000000" w:rsidRDefault="00000000" w:rsidRPr="00000000" w14:paraId="00000035">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6">
            <w:pPr>
              <w:jc w:val="both"/>
              <w:rPr>
                <w:rFonts w:ascii="Arial" w:cs="Arial" w:eastAsia="Arial" w:hAnsi="Arial"/>
                <w:i w:val="1"/>
                <w:iCs w:val="1"/>
                <w:sz w:val="18"/>
                <w:szCs w:val="18"/>
                <w:u w:val="single"/>
              </w:rPr>
            </w:pPr>
            <w:r w:rsidDel="00000000" w:rsidR="00000000" w:rsidRPr="00000000">
              <w:rPr>
                <w:rFonts w:ascii="Arial" w:cs="Arial" w:eastAsia="Arial" w:hAnsi="Arial"/>
                <w:b w:val="1"/>
                <w:bCs w:val="1"/>
                <w:sz w:val="18"/>
                <w:szCs w:val="18"/>
                <w:rtl w:val="0"/>
              </w:rPr>
              <w:t xml:space="preserve">Risposta</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i w:val="1"/>
                <w:iCs w:val="1"/>
                <w:sz w:val="18"/>
                <w:szCs w:val="18"/>
                <w:rtl w:val="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Del="00000000" w:rsidR="00000000" w:rsidRPr="00000000">
              <w:rPr>
                <w:rFonts w:ascii="Arial" w:cs="Arial" w:eastAsia="Arial" w:hAnsi="Arial"/>
                <w:i w:val="1"/>
                <w:iCs w:val="1"/>
                <w:sz w:val="18"/>
                <w:szCs w:val="18"/>
                <w:u w:val="single"/>
                <w:rtl w:val="0"/>
              </w:rPr>
              <w:t xml:space="preserve">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rsidR="00000000" w:rsidDel="00000000" w:rsidP="00000000" w:rsidRDefault="00000000" w:rsidRPr="00000000" w14:paraId="00000037">
            <w:pPr>
              <w:jc w:val="both"/>
              <w:rPr>
                <w:rFonts w:ascii="Arial" w:cs="Arial" w:eastAsia="Arial" w:hAnsi="Arial"/>
                <w:sz w:val="18"/>
                <w:szCs w:val="18"/>
              </w:rPr>
            </w:pPr>
            <w:r w:rsidDel="00000000" w:rsidR="00000000" w:rsidRPr="00000000">
              <w:rPr>
                <w:rFonts w:ascii="Arial" w:cs="Arial" w:eastAsia="Arial" w:hAnsi="Arial"/>
                <w:i w:val="1"/>
                <w:iCs w:val="1"/>
                <w:sz w:val="18"/>
                <w:szCs w:val="18"/>
                <w:rtl w:val="0"/>
              </w:rPr>
              <w:t xml:space="preserve">Non è richiesto, quindi, che l’operatore si impegni ad assumere personale, nel caso in cui la prestazione possa essere eseguita con personale già contrattualizzato.</w:t>
            </w:r>
            <w:r w:rsidDel="00000000" w:rsidR="00000000" w:rsidRPr="00000000">
              <w:rPr>
                <w:rtl w:val="0"/>
              </w:rPr>
            </w:r>
          </w:p>
          <w:p w:rsidR="00000000" w:rsidDel="00000000" w:rsidP="00000000" w:rsidRDefault="00000000" w:rsidRPr="00000000" w14:paraId="00000038">
            <w:pPr>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39">
      <w:pPr>
        <w:widowControl w:val="0"/>
        <w:rPr>
          <w:rFonts w:ascii="Arial" w:cs="Arial" w:eastAsia="Arial" w:hAnsi="Arial"/>
          <w:b w:val="1"/>
          <w:bCs w:val="1"/>
          <w:i w:val="1"/>
          <w:iCs w:val="1"/>
          <w:sz w:val="18"/>
          <w:szCs w:val="18"/>
          <w:u w:val="single"/>
        </w:rPr>
      </w:pPr>
      <w:r w:rsidDel="00000000" w:rsidR="00000000" w:rsidRPr="00000000">
        <w:rPr>
          <w:rtl w:val="0"/>
        </w:rPr>
      </w:r>
    </w:p>
    <w:p w:rsidR="00000000" w:rsidDel="00000000" w:rsidP="00000000" w:rsidRDefault="00000000" w:rsidRPr="00000000" w14:paraId="0000003A">
      <w:pPr>
        <w:rPr>
          <w:sz w:val="22"/>
          <w:szCs w:val="22"/>
        </w:rPr>
      </w:pPr>
      <w:r w:rsidDel="00000000" w:rsidR="00000000" w:rsidRPr="00000000">
        <w:rPr>
          <w:rtl w:val="0"/>
        </w:rPr>
      </w:r>
    </w:p>
    <w:sectPr>
      <w:headerReference r:id="rId8" w:type="default"/>
      <w:footerReference r:id="rId9" w:type="default"/>
      <w:pgSz w:h="16838" w:w="11906" w:orient="portrait"/>
      <w:pgMar w:bottom="1134" w:top="1985" w:left="1134" w:right="1134"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Liberation San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Per gli operatori economici italiani o stranieri residenti in Italia, la dichiarazione deve essere sottoscritta da un legale rappresentante ovvero da un procuratore</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superscript"/>
          <w:rtl w:val="0"/>
        </w:rPr>
        <w:t xml:space="preserve">3</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r w:rsidDel="00000000" w:rsidR="00000000" w:rsidRPr="00000000">
        <w:rPr>
          <w:rtl w:val="0"/>
        </w:rPr>
      </w:r>
    </w:p>
  </w:footnote>
  <w:footnote w:id="1">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6"/>
          <w:szCs w:val="16"/>
          <w:u w:val="none"/>
          <w:shd w:fill="auto" w:val="clear"/>
          <w:vertAlign w:val="baseline"/>
          <w:rtl w:val="0"/>
        </w:rPr>
        <w:t xml:space="preserve">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spacing w:line="276" w:lineRule="auto"/>
      <w:ind w:left="-708.6614173228347" w:firstLine="0"/>
      <w:jc w:val="center"/>
      <w:rPr>
        <w:color w:val="000000"/>
        <w:sz w:val="20"/>
        <w:szCs w:val="20"/>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6119820" cy="85090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19820" cy="850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25" w:hanging="705"/>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bullet"/>
      <w:lvlText w:val="●"/>
      <w:lvlJc w:val="left"/>
      <w:pPr>
        <w:ind w:left="1425" w:hanging="705"/>
      </w:pPr>
      <w:rPr>
        <w:rFonts w:ascii="Noto Sans Symbols" w:cs="Noto Sans Symbols" w:eastAsia="Noto Sans Symbols" w:hAnsi="Noto Sans Symbols"/>
      </w:rPr>
    </w:lvl>
    <w:lvl w:ilvl="1">
      <w:start w:val="1"/>
      <w:numFmt w:val="bullet"/>
      <w:lvlText w:val="˗"/>
      <w:lvlJc w:val="left"/>
      <w:pPr>
        <w:ind w:left="1800" w:hanging="360"/>
      </w:pPr>
      <w:rPr>
        <w:rFonts w:ascii="Arial" w:cs="Arial" w:eastAsia="Arial" w:hAnsi="Arial"/>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spacing w:after="60" w:before="240" w:lineRule="auto"/>
    </w:pPr>
    <w:rPr>
      <w:rFonts w:ascii="Calibri" w:cs="Calibri" w:eastAsia="Calibri" w:hAnsi="Calibri"/>
      <w:b w:val="1"/>
      <w:bCs w:val="1"/>
      <w:sz w:val="28"/>
      <w:szCs w:val="28"/>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rPr>
      <w:sz w:val="22"/>
      <w:szCs w:val="22"/>
    </w:rPr>
    <w:tblPr>
      <w:tblStyleRowBandSize w:val="1"/>
      <w:tblStyleColBandSize w:val="1"/>
      <w:tblCellMar>
        <w:top w:w="0.0" w:type="dxa"/>
        <w:left w:w="115.0" w:type="dxa"/>
        <w:bottom w:w="0.0" w:type="dxa"/>
        <w:right w:w="115.0" w:type="dxa"/>
      </w:tblCellMar>
    </w:tblPr>
  </w:style>
  <w:style w:type="table" w:styleId="Table2">
    <w:basedOn w:val="TableNormal"/>
    <w:rPr>
      <w:sz w:val="22"/>
      <w:szCs w:val="22"/>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igS18wIwIFQcRGinW98EorGwwg==">CgMxLjAyDmgucnppcnNlNnAxbmNqMg5oLnRnZWpmaXNqamduYzIIaC5namRneHMyCWguMzBqMHpsbDgAciExZ1VBNXVuaUR5N0tNajl2QmlOTUNUQWFuNnVxMi1ORkk=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